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A8" w:rsidRDefault="004C29A8" w:rsidP="004C29A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627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9A8" w:rsidRDefault="004C29A8" w:rsidP="004C2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C29A8" w:rsidRDefault="004C29A8" w:rsidP="004C2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4C29A8" w:rsidRDefault="004C29A8" w:rsidP="004C29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4C29A8" w:rsidRDefault="004C29A8" w:rsidP="004C29A8">
      <w:pPr>
        <w:pStyle w:val="3"/>
        <w:rPr>
          <w:sz w:val="16"/>
          <w:szCs w:val="16"/>
        </w:rPr>
      </w:pPr>
    </w:p>
    <w:p w:rsidR="004C29A8" w:rsidRDefault="004C29A8" w:rsidP="004C29A8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4C29A8" w:rsidRDefault="004C29A8" w:rsidP="004C29A8">
      <w:pPr>
        <w:jc w:val="center"/>
        <w:rPr>
          <w:sz w:val="28"/>
          <w:szCs w:val="28"/>
        </w:rPr>
      </w:pPr>
    </w:p>
    <w:p w:rsidR="004C29A8" w:rsidRDefault="004C29A8" w:rsidP="004C29A8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C29A8" w:rsidRDefault="004C29A8" w:rsidP="004C29A8"/>
    <w:p w:rsidR="004C29A8" w:rsidRDefault="004C29A8" w:rsidP="004C29A8"/>
    <w:p w:rsidR="004C29A8" w:rsidRDefault="005273F8" w:rsidP="004C29A8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17</w:t>
      </w:r>
      <w:r w:rsidR="004C29A8">
        <w:rPr>
          <w:bCs/>
          <w:sz w:val="28"/>
        </w:rPr>
        <w:t xml:space="preserve"> апреля 2014 года                 </w:t>
      </w:r>
      <w:r w:rsidR="004C29A8">
        <w:rPr>
          <w:bCs/>
          <w:sz w:val="28"/>
        </w:rPr>
        <w:tab/>
        <w:t xml:space="preserve">                              </w:t>
      </w:r>
      <w:r w:rsidR="004C29A8">
        <w:rPr>
          <w:bCs/>
          <w:sz w:val="28"/>
        </w:rPr>
        <w:tab/>
        <w:t xml:space="preserve">           </w:t>
      </w:r>
      <w:r>
        <w:rPr>
          <w:bCs/>
          <w:sz w:val="28"/>
        </w:rPr>
        <w:t xml:space="preserve">                             №18</w:t>
      </w:r>
    </w:p>
    <w:p w:rsidR="004C29A8" w:rsidRDefault="004C29A8" w:rsidP="004C29A8">
      <w:pPr>
        <w:pStyle w:val="5"/>
        <w:jc w:val="center"/>
        <w:rPr>
          <w:b w:val="0"/>
          <w:sz w:val="28"/>
          <w:szCs w:val="28"/>
        </w:rPr>
      </w:pPr>
    </w:p>
    <w:p w:rsidR="004C29A8" w:rsidRDefault="004C29A8" w:rsidP="004C29A8">
      <w:pPr>
        <w:jc w:val="center"/>
      </w:pPr>
      <w:r>
        <w:t>Ханты-Мансийск</w:t>
      </w:r>
    </w:p>
    <w:p w:rsidR="004C29A8" w:rsidRDefault="004C29A8" w:rsidP="004C29A8"/>
    <w:p w:rsidR="004C29A8" w:rsidRPr="005273F8" w:rsidRDefault="004C29A8" w:rsidP="004C29A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132E" w:rsidRPr="0082132E" w:rsidRDefault="0082132E" w:rsidP="0082132E">
      <w:pPr>
        <w:pStyle w:val="5"/>
        <w:rPr>
          <w:b w:val="0"/>
          <w:sz w:val="28"/>
          <w:szCs w:val="28"/>
        </w:rPr>
      </w:pPr>
      <w:r w:rsidRPr="0082132E">
        <w:rPr>
          <w:b w:val="0"/>
          <w:sz w:val="28"/>
          <w:szCs w:val="28"/>
        </w:rPr>
        <w:t xml:space="preserve">О назначении публичных слушаний </w:t>
      </w:r>
    </w:p>
    <w:p w:rsidR="0082132E" w:rsidRPr="0082132E" w:rsidRDefault="0082132E" w:rsidP="0082132E">
      <w:pPr>
        <w:rPr>
          <w:sz w:val="28"/>
          <w:szCs w:val="28"/>
        </w:rPr>
      </w:pPr>
      <w:r w:rsidRPr="0082132E">
        <w:rPr>
          <w:sz w:val="28"/>
          <w:szCs w:val="28"/>
        </w:rPr>
        <w:t>по вопросу предоставления</w:t>
      </w:r>
    </w:p>
    <w:p w:rsidR="0082132E" w:rsidRDefault="0082132E" w:rsidP="0082132E">
      <w:pPr>
        <w:rPr>
          <w:sz w:val="28"/>
          <w:szCs w:val="28"/>
        </w:rPr>
      </w:pPr>
      <w:r>
        <w:rPr>
          <w:sz w:val="28"/>
          <w:szCs w:val="28"/>
        </w:rPr>
        <w:t>разрешения на отклонение</w:t>
      </w:r>
    </w:p>
    <w:p w:rsidR="0082132E" w:rsidRDefault="0082132E" w:rsidP="0082132E">
      <w:pPr>
        <w:rPr>
          <w:sz w:val="28"/>
          <w:szCs w:val="28"/>
        </w:rPr>
      </w:pPr>
      <w:r>
        <w:rPr>
          <w:sz w:val="28"/>
          <w:szCs w:val="28"/>
        </w:rPr>
        <w:t xml:space="preserve">от предельных параметров </w:t>
      </w:r>
    </w:p>
    <w:p w:rsidR="0082132E" w:rsidRDefault="0082132E" w:rsidP="0082132E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разрешенного строительства объекта</w:t>
      </w:r>
    </w:p>
    <w:p w:rsidR="0082132E" w:rsidRDefault="0082132E" w:rsidP="00821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82132E" w:rsidRDefault="0082132E" w:rsidP="0082132E">
      <w:pPr>
        <w:rPr>
          <w:sz w:val="28"/>
          <w:szCs w:val="28"/>
        </w:rPr>
      </w:pPr>
    </w:p>
    <w:p w:rsidR="0082132E" w:rsidRDefault="0082132E" w:rsidP="0082132E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Рассмотрев материалы комиссии по землепользованию и застройке </w:t>
      </w:r>
      <w:proofErr w:type="gramStart"/>
      <w:r>
        <w:rPr>
          <w:sz w:val="28"/>
          <w:szCs w:val="28"/>
        </w:rPr>
        <w:t>территории города Ханты-Мансийска об обращении общества с ограниченной ответственностью «Тюменское строительное управление» 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                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</w:t>
      </w:r>
      <w:proofErr w:type="gramEnd"/>
      <w:r>
        <w:rPr>
          <w:sz w:val="28"/>
          <w:szCs w:val="28"/>
        </w:rPr>
        <w:t>2005  года № 123 «О порядке организации и проведения публичных слушаний в городе Ханты-Мансийске»:</w:t>
      </w:r>
    </w:p>
    <w:p w:rsidR="0082132E" w:rsidRDefault="0082132E" w:rsidP="0082132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«Многоквартирный жилой дом по ул. Пионерская, 28-30 в г. Ханты-Мансийске» </w:t>
      </w:r>
      <w:r>
        <w:rPr>
          <w:sz w:val="28"/>
          <w:szCs w:val="40"/>
        </w:rPr>
        <w:t>в части уменьшения минимальной глубины участка (</w:t>
      </w:r>
      <w:r>
        <w:rPr>
          <w:sz w:val="28"/>
          <w:szCs w:val="40"/>
          <w:lang w:val="en-US"/>
        </w:rPr>
        <w:t>n</w:t>
      </w:r>
      <w:r w:rsidRPr="0082132E">
        <w:rPr>
          <w:sz w:val="28"/>
          <w:szCs w:val="40"/>
        </w:rPr>
        <w:t xml:space="preserve"> </w:t>
      </w:r>
      <w:r>
        <w:rPr>
          <w:sz w:val="28"/>
          <w:szCs w:val="40"/>
        </w:rPr>
        <w:t xml:space="preserve">– ширина жилой секции) до 7,5+ </w:t>
      </w:r>
      <w:r>
        <w:rPr>
          <w:sz w:val="28"/>
          <w:szCs w:val="40"/>
          <w:lang w:val="en-US"/>
        </w:rPr>
        <w:t>n</w:t>
      </w:r>
      <w:r>
        <w:rPr>
          <w:sz w:val="28"/>
          <w:szCs w:val="40"/>
        </w:rPr>
        <w:t xml:space="preserve"> м, минимальной глубины заднего двора до 7,5 м, минимальной ширины бокового двора до 0,7 м, минимальной суммарной ширины</w:t>
      </w:r>
      <w:proofErr w:type="gramEnd"/>
      <w:r>
        <w:rPr>
          <w:sz w:val="28"/>
          <w:szCs w:val="40"/>
        </w:rPr>
        <w:t xml:space="preserve"> боковых дворов до 11,75 м, увеличения максимального процента застройки до 46,9, максимального коэффициента соотношения</w:t>
      </w:r>
      <w:r>
        <w:rPr>
          <w:sz w:val="28"/>
          <w:szCs w:val="28"/>
        </w:rPr>
        <w:t xml:space="preserve"> общей площади здания к площади участка до 1,64, площади помещений до 560 кв. м. (зона </w:t>
      </w:r>
      <w:proofErr w:type="spell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 жилой застройки ЖЗ 103 планировочного квартала 01:03:01) с участием граждан, проживающих в пределах указанной территориальной зоны. </w:t>
      </w:r>
    </w:p>
    <w:p w:rsidR="0082132E" w:rsidRDefault="0082132E" w:rsidP="0082132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</w:t>
      </w:r>
      <w:r>
        <w:rPr>
          <w:sz w:val="28"/>
          <w:szCs w:val="28"/>
        </w:rPr>
        <w:t>07 мая</w:t>
      </w:r>
      <w:r>
        <w:rPr>
          <w:color w:val="000000"/>
          <w:sz w:val="28"/>
          <w:szCs w:val="28"/>
        </w:rPr>
        <w:t xml:space="preserve"> 2014 года по адресу: г. Ханты-Мансийск, ул. Калинина, 26, кабинет 305.</w:t>
      </w:r>
    </w:p>
    <w:p w:rsidR="0082132E" w:rsidRDefault="0082132E" w:rsidP="00821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07 мая</w:t>
      </w:r>
      <w:r>
        <w:rPr>
          <w:color w:val="000000"/>
          <w:sz w:val="28"/>
          <w:szCs w:val="28"/>
        </w:rPr>
        <w:t xml:space="preserve"> 2014 года                             с 18 часов 00 минут в малом зале муниципального бюджетного учреждения «Культурно-досуговый центр «Октябрь» по адресу: г. Ханты-Мансийск, </w:t>
      </w:r>
      <w:r w:rsidR="00C67442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ул. Дзержинского, 7</w:t>
      </w:r>
      <w:r>
        <w:rPr>
          <w:sz w:val="28"/>
          <w:szCs w:val="28"/>
        </w:rPr>
        <w:t>.</w:t>
      </w:r>
    </w:p>
    <w:p w:rsidR="0082132E" w:rsidRDefault="0082132E" w:rsidP="00821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       по результатам проведения публичных слушаний возложить на комиссию                     по землепользованию и застройке территории города Ханты-Мансийска. </w:t>
      </w:r>
    </w:p>
    <w:p w:rsidR="0082132E" w:rsidRDefault="0082132E" w:rsidP="0082132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82132E" w:rsidRDefault="004F76DF" w:rsidP="0082132E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 w:rsidR="0082132E">
        <w:rPr>
          <w:sz w:val="28"/>
          <w:szCs w:val="28"/>
        </w:rPr>
        <w:t xml:space="preserve">Администрации города Ханты-Мансийска </w:t>
      </w:r>
      <w:proofErr w:type="gramStart"/>
      <w:r w:rsidR="0082132E">
        <w:rPr>
          <w:sz w:val="28"/>
          <w:szCs w:val="28"/>
        </w:rPr>
        <w:t>разместить информацию</w:t>
      </w:r>
      <w:proofErr w:type="gramEnd"/>
      <w:r w:rsidR="00821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82132E">
        <w:rPr>
          <w:sz w:val="28"/>
          <w:szCs w:val="28"/>
        </w:rPr>
        <w:t>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</w:t>
      </w:r>
      <w:r>
        <w:rPr>
          <w:sz w:val="28"/>
          <w:szCs w:val="28"/>
        </w:rPr>
        <w:t xml:space="preserve"> города Ханты-Мансийска в сети Интернет</w:t>
      </w:r>
      <w:r w:rsidR="0082132E"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82132E" w:rsidRDefault="004F76DF" w:rsidP="0082132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</w:t>
      </w:r>
      <w:r w:rsidR="0082132E"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82132E" w:rsidRDefault="004F76DF" w:rsidP="008213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2132E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82132E" w:rsidRDefault="0082132E" w:rsidP="0082132E">
      <w:pPr>
        <w:tabs>
          <w:tab w:val="left" w:pos="0"/>
        </w:tabs>
        <w:jc w:val="both"/>
        <w:rPr>
          <w:sz w:val="28"/>
          <w:szCs w:val="28"/>
        </w:rPr>
      </w:pPr>
    </w:p>
    <w:p w:rsidR="0082132E" w:rsidRDefault="0082132E" w:rsidP="0082132E">
      <w:pPr>
        <w:jc w:val="both"/>
        <w:rPr>
          <w:sz w:val="28"/>
          <w:szCs w:val="28"/>
        </w:rPr>
      </w:pPr>
    </w:p>
    <w:p w:rsidR="004C29A8" w:rsidRDefault="004C29A8" w:rsidP="004C29A8">
      <w:pPr>
        <w:jc w:val="both"/>
        <w:rPr>
          <w:bCs/>
          <w:sz w:val="28"/>
          <w:szCs w:val="28"/>
        </w:rPr>
      </w:pPr>
    </w:p>
    <w:p w:rsidR="005273F8" w:rsidRDefault="005273F8" w:rsidP="004C29A8">
      <w:pPr>
        <w:jc w:val="both"/>
        <w:rPr>
          <w:bCs/>
          <w:sz w:val="28"/>
          <w:szCs w:val="28"/>
        </w:rPr>
      </w:pPr>
    </w:p>
    <w:p w:rsidR="004C29A8" w:rsidRDefault="004C29A8" w:rsidP="004C29A8">
      <w:pPr>
        <w:jc w:val="both"/>
        <w:rPr>
          <w:bCs/>
          <w:sz w:val="28"/>
          <w:szCs w:val="28"/>
        </w:rPr>
      </w:pPr>
    </w:p>
    <w:p w:rsidR="00883FBB" w:rsidRDefault="00883FBB" w:rsidP="00883FBB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883FBB" w:rsidRDefault="00883FBB" w:rsidP="00883FBB">
      <w:pPr>
        <w:ind w:left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</w:p>
    <w:p w:rsidR="004C29A8" w:rsidRDefault="004C29A8" w:rsidP="004C29A8">
      <w:pPr>
        <w:jc w:val="both"/>
        <w:rPr>
          <w:bCs/>
          <w:sz w:val="28"/>
          <w:szCs w:val="28"/>
        </w:rPr>
      </w:pPr>
    </w:p>
    <w:p w:rsidR="00820C97" w:rsidRDefault="00820C97">
      <w:bookmarkStart w:id="0" w:name="_GoBack"/>
      <w:bookmarkEnd w:id="0"/>
    </w:p>
    <w:sectPr w:rsidR="00820C97" w:rsidSect="000D4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8D" w:rsidRDefault="00ED178D" w:rsidP="000D4421">
      <w:r>
        <w:separator/>
      </w:r>
    </w:p>
  </w:endnote>
  <w:endnote w:type="continuationSeparator" w:id="0">
    <w:p w:rsidR="00ED178D" w:rsidRDefault="00ED178D" w:rsidP="000D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21" w:rsidRDefault="000D442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21" w:rsidRDefault="000D442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21" w:rsidRDefault="000D44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8D" w:rsidRDefault="00ED178D" w:rsidP="000D4421">
      <w:r>
        <w:separator/>
      </w:r>
    </w:p>
  </w:footnote>
  <w:footnote w:type="continuationSeparator" w:id="0">
    <w:p w:rsidR="00ED178D" w:rsidRDefault="00ED178D" w:rsidP="000D4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21" w:rsidRDefault="000D44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255156"/>
      <w:docPartObj>
        <w:docPartGallery w:val="Page Numbers (Top of Page)"/>
        <w:docPartUnique/>
      </w:docPartObj>
    </w:sdtPr>
    <w:sdtEndPr/>
    <w:sdtContent>
      <w:p w:rsidR="000D4421" w:rsidRDefault="000D44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FBB">
          <w:rPr>
            <w:noProof/>
          </w:rPr>
          <w:t>2</w:t>
        </w:r>
        <w:r>
          <w:fldChar w:fldCharType="end"/>
        </w:r>
      </w:p>
    </w:sdtContent>
  </w:sdt>
  <w:p w:rsidR="000D4421" w:rsidRDefault="000D442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21" w:rsidRDefault="000D44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80"/>
    <w:rsid w:val="000D4421"/>
    <w:rsid w:val="004C29A8"/>
    <w:rsid w:val="004F76DF"/>
    <w:rsid w:val="005273F8"/>
    <w:rsid w:val="006A5D80"/>
    <w:rsid w:val="00820C97"/>
    <w:rsid w:val="0082132E"/>
    <w:rsid w:val="00883FBB"/>
    <w:rsid w:val="00C65637"/>
    <w:rsid w:val="00C67442"/>
    <w:rsid w:val="00E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29A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C29A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4C29A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29A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C29A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C29A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4C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9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D44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4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44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44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29A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C29A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4C29A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29A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C29A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C29A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4C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9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D44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4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44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44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10</cp:revision>
  <cp:lastPrinted>2014-04-21T03:10:00Z</cp:lastPrinted>
  <dcterms:created xsi:type="dcterms:W3CDTF">2014-04-18T04:14:00Z</dcterms:created>
  <dcterms:modified xsi:type="dcterms:W3CDTF">2014-04-21T09:34:00Z</dcterms:modified>
</cp:coreProperties>
</file>